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B66" w:rsidRPr="00ED0B80" w:rsidRDefault="00377B66" w:rsidP="00ED0B80">
      <w:pPr>
        <w:spacing w:line="240" w:lineRule="auto"/>
        <w:rPr>
          <w:rFonts w:ascii="Verdana" w:hAnsi="Verdana" w:cstheme="minorBidi"/>
          <w:lang w:eastAsia="en-US"/>
        </w:rPr>
      </w:pPr>
      <w:r w:rsidRPr="00ED0B80">
        <w:rPr>
          <w:rFonts w:ascii="Verdana" w:hAnsi="Verdana" w:cstheme="minorBidi"/>
          <w:lang w:eastAsia="en-US"/>
        </w:rPr>
        <w:t>Subte</w:t>
      </w:r>
    </w:p>
    <w:p w:rsidR="00377B66" w:rsidRPr="00ED0B80" w:rsidRDefault="00377B66" w:rsidP="00ED0B80">
      <w:pPr>
        <w:spacing w:line="240" w:lineRule="auto"/>
        <w:rPr>
          <w:rFonts w:ascii="Verdana" w:hAnsi="Verdana" w:cstheme="minorBidi"/>
          <w:sz w:val="28"/>
          <w:szCs w:val="28"/>
          <w:lang w:eastAsia="en-US"/>
        </w:rPr>
      </w:pPr>
      <w:r w:rsidRPr="00ED0B80">
        <w:rPr>
          <w:rFonts w:ascii="Verdana" w:hAnsi="Verdana" w:cstheme="minorBidi"/>
          <w:sz w:val="28"/>
          <w:szCs w:val="28"/>
          <w:lang w:eastAsia="en-US"/>
        </w:rPr>
        <w:t xml:space="preserve">Estación Pasteur, un lugar </w:t>
      </w:r>
      <w:r w:rsidR="00874255">
        <w:rPr>
          <w:rFonts w:ascii="Verdana" w:hAnsi="Verdana" w:cstheme="minorBidi"/>
          <w:sz w:val="28"/>
          <w:szCs w:val="28"/>
          <w:lang w:eastAsia="en-US"/>
        </w:rPr>
        <w:t>para</w:t>
      </w:r>
      <w:r w:rsidRPr="00ED0B80">
        <w:rPr>
          <w:rFonts w:ascii="Verdana" w:hAnsi="Verdana" w:cstheme="minorBidi"/>
          <w:sz w:val="28"/>
          <w:szCs w:val="28"/>
          <w:lang w:eastAsia="en-US"/>
        </w:rPr>
        <w:t xml:space="preserve"> la memoria  </w:t>
      </w:r>
    </w:p>
    <w:p w:rsidR="00377B66" w:rsidRPr="00ED0B80" w:rsidRDefault="00377B66" w:rsidP="00ED0B80">
      <w:pPr>
        <w:spacing w:after="200"/>
        <w:jc w:val="both"/>
        <w:rPr>
          <w:rFonts w:ascii="Verdana" w:hAnsi="Verdana" w:cstheme="minorBidi"/>
          <w:color w:val="auto"/>
          <w:sz w:val="20"/>
          <w:szCs w:val="20"/>
          <w:lang w:eastAsia="en-US"/>
        </w:rPr>
      </w:pPr>
      <w:r w:rsidRPr="00ED0B80">
        <w:rPr>
          <w:rFonts w:ascii="Verdana" w:hAnsi="Verdana" w:cstheme="minorBidi"/>
          <w:color w:val="auto"/>
          <w:sz w:val="20"/>
          <w:szCs w:val="20"/>
          <w:lang w:eastAsia="en-US"/>
        </w:rPr>
        <w:t xml:space="preserve">Se presentaron las intervenciones artísticas que transformaron la estación en un espacio de homenaje a las víctimas del atentado del 18 de julio de 1994.  </w:t>
      </w:r>
    </w:p>
    <w:p w:rsidR="00263593" w:rsidRDefault="00BA2D09" w:rsidP="00263593">
      <w:pPr>
        <w:pStyle w:val="normal0"/>
        <w:spacing w:after="24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>(Ciudad Autónoma de B</w:t>
      </w:r>
      <w:r w:rsidR="00263593">
        <w:rPr>
          <w:rFonts w:ascii="Verdana" w:hAnsi="Verdana"/>
          <w:color w:val="auto"/>
          <w:sz w:val="20"/>
          <w:szCs w:val="20"/>
        </w:rPr>
        <w:t xml:space="preserve">uenos Aires, 18 de junio de 2015).- Subterráneos de Buenos Aires junto a la Asociación Mutual Israelita Argentina (AMIA) reinauguraron la estación Pasteur de la Línea B como un espacio que invita a reflexionar sobre el rol fundamental de la memoria como herramienta estructural del futuro. </w:t>
      </w:r>
    </w:p>
    <w:p w:rsidR="00263593" w:rsidRDefault="00263593" w:rsidP="00263593">
      <w:pPr>
        <w:pStyle w:val="normal0"/>
        <w:spacing w:after="24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>La estación está ornamentada con 26 obras, entre historietas, ilustraciones, murales y fotografías, de 25 artistas locales que contribuyeron a crear un lugar permanente de homenaje a las víctimas del atentado y de búsqueda de justicia y verdad.</w:t>
      </w:r>
    </w:p>
    <w:p w:rsidR="00A767FC" w:rsidRDefault="00B438AC" w:rsidP="003518CC">
      <w:pPr>
        <w:jc w:val="both"/>
        <w:rPr>
          <w:rFonts w:ascii="Verdana" w:hAnsi="Verdana"/>
          <w:color w:val="auto"/>
          <w:sz w:val="20"/>
          <w:szCs w:val="20"/>
        </w:rPr>
      </w:pPr>
      <w:r w:rsidRPr="000275CF">
        <w:rPr>
          <w:rFonts w:ascii="Verdana" w:hAnsi="Verdana"/>
          <w:color w:val="auto"/>
          <w:sz w:val="20"/>
          <w:szCs w:val="20"/>
        </w:rPr>
        <w:t>“El subte vive y refleja la historia de la Ciudad y su gente. El atentado a la AMIA fue sin dudas uno de los hechos más terribles sufridos por nuestra sociedad. Por eso, creemos importante mantener el recuerdo vivo en esta estación para contribuir a</w:t>
      </w:r>
      <w:r>
        <w:rPr>
          <w:rFonts w:ascii="Verdana" w:hAnsi="Verdana"/>
          <w:color w:val="auto"/>
          <w:sz w:val="20"/>
          <w:szCs w:val="20"/>
        </w:rPr>
        <w:t xml:space="preserve"> generar conciencia y reflexión</w:t>
      </w:r>
      <w:r w:rsidRPr="000275CF">
        <w:rPr>
          <w:rFonts w:ascii="Verdana" w:hAnsi="Verdana"/>
          <w:color w:val="auto"/>
          <w:sz w:val="20"/>
          <w:szCs w:val="20"/>
        </w:rPr>
        <w:t>”</w:t>
      </w:r>
      <w:r>
        <w:rPr>
          <w:rFonts w:ascii="Verdana" w:hAnsi="Verdana"/>
          <w:color w:val="auto"/>
          <w:sz w:val="20"/>
          <w:szCs w:val="20"/>
        </w:rPr>
        <w:t xml:space="preserve">, </w:t>
      </w:r>
      <w:r w:rsidR="00A767FC">
        <w:rPr>
          <w:rFonts w:ascii="Verdana" w:hAnsi="Verdana"/>
          <w:color w:val="auto"/>
          <w:sz w:val="20"/>
          <w:szCs w:val="20"/>
        </w:rPr>
        <w:t>aseguró el Ing. Juan Pablo Piccardo, Presidente de Subterráneos de Buenos Aires.</w:t>
      </w:r>
    </w:p>
    <w:p w:rsidR="00B438AC" w:rsidRPr="00B438AC" w:rsidRDefault="00B438AC" w:rsidP="00B438AC"/>
    <w:p w:rsidR="00263593" w:rsidRDefault="00263593" w:rsidP="00263593">
      <w:pPr>
        <w:pStyle w:val="normal0"/>
        <w:spacing w:after="24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 xml:space="preserve">En el vestíbulo, los usuarios pueden iniciar el recorrido por un Centro de Interpretación que contiene información sobre el hecho y dejar mensajes a través de pantallas táctiles. </w:t>
      </w:r>
    </w:p>
    <w:p w:rsidR="00263593" w:rsidRDefault="00263593" w:rsidP="00263593">
      <w:pPr>
        <w:pStyle w:val="normal0"/>
        <w:spacing w:after="24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 xml:space="preserve">Por su parte, los andenes fueron intervenidos con piezas de  los artistas Miguel </w:t>
      </w:r>
      <w:proofErr w:type="spellStart"/>
      <w:r>
        <w:rPr>
          <w:rFonts w:ascii="Verdana" w:hAnsi="Verdana"/>
          <w:color w:val="auto"/>
          <w:sz w:val="20"/>
          <w:szCs w:val="20"/>
        </w:rPr>
        <w:t>Rep</w:t>
      </w:r>
      <w:proofErr w:type="spellEnd"/>
      <w:r>
        <w:rPr>
          <w:rFonts w:ascii="Verdana" w:hAnsi="Verdana"/>
          <w:color w:val="auto"/>
          <w:sz w:val="20"/>
          <w:szCs w:val="20"/>
        </w:rPr>
        <w:t xml:space="preserve">, </w:t>
      </w:r>
      <w:proofErr w:type="spellStart"/>
      <w:r>
        <w:rPr>
          <w:rFonts w:ascii="Verdana" w:hAnsi="Verdana"/>
          <w:color w:val="auto"/>
          <w:sz w:val="20"/>
          <w:szCs w:val="20"/>
        </w:rPr>
        <w:t>Sendra</w:t>
      </w:r>
      <w:proofErr w:type="spellEnd"/>
      <w:r>
        <w:rPr>
          <w:rFonts w:ascii="Verdana" w:hAnsi="Verdana"/>
          <w:color w:val="auto"/>
          <w:sz w:val="20"/>
          <w:szCs w:val="20"/>
        </w:rPr>
        <w:t xml:space="preserve">, </w:t>
      </w:r>
      <w:proofErr w:type="spellStart"/>
      <w:r>
        <w:rPr>
          <w:rFonts w:ascii="Verdana" w:hAnsi="Verdana"/>
          <w:color w:val="auto"/>
          <w:sz w:val="20"/>
          <w:szCs w:val="20"/>
        </w:rPr>
        <w:t>Corne</w:t>
      </w:r>
      <w:proofErr w:type="spellEnd"/>
      <w:r>
        <w:rPr>
          <w:rFonts w:ascii="Verdana" w:hAnsi="Verdana"/>
          <w:color w:val="auto"/>
          <w:sz w:val="20"/>
          <w:szCs w:val="20"/>
        </w:rPr>
        <w:t xml:space="preserve">, Pito Campos, </w:t>
      </w:r>
      <w:proofErr w:type="spellStart"/>
      <w:r>
        <w:rPr>
          <w:rFonts w:ascii="Verdana" w:hAnsi="Verdana"/>
          <w:color w:val="auto"/>
          <w:sz w:val="20"/>
          <w:szCs w:val="20"/>
        </w:rPr>
        <w:t>Jorh</w:t>
      </w:r>
      <w:proofErr w:type="spellEnd"/>
      <w:r>
        <w:rPr>
          <w:rFonts w:ascii="Verdana" w:hAnsi="Verdana"/>
          <w:color w:val="auto"/>
          <w:sz w:val="20"/>
          <w:szCs w:val="20"/>
        </w:rPr>
        <w:t xml:space="preserve">, </w:t>
      </w:r>
      <w:proofErr w:type="spellStart"/>
      <w:r>
        <w:rPr>
          <w:rFonts w:ascii="Verdana" w:hAnsi="Verdana"/>
          <w:color w:val="auto"/>
          <w:sz w:val="20"/>
          <w:szCs w:val="20"/>
        </w:rPr>
        <w:t>Liniers</w:t>
      </w:r>
      <w:proofErr w:type="spellEnd"/>
      <w:r>
        <w:rPr>
          <w:rFonts w:ascii="Verdana" w:hAnsi="Verdana"/>
          <w:color w:val="auto"/>
          <w:sz w:val="20"/>
          <w:szCs w:val="20"/>
        </w:rPr>
        <w:t xml:space="preserve">, </w:t>
      </w:r>
      <w:proofErr w:type="spellStart"/>
      <w:r>
        <w:rPr>
          <w:rFonts w:ascii="Verdana" w:hAnsi="Verdana"/>
          <w:color w:val="auto"/>
          <w:sz w:val="20"/>
          <w:szCs w:val="20"/>
        </w:rPr>
        <w:t>Fontanarrosa</w:t>
      </w:r>
      <w:proofErr w:type="spellEnd"/>
      <w:r>
        <w:rPr>
          <w:rFonts w:ascii="Verdana" w:hAnsi="Verdana"/>
          <w:color w:val="auto"/>
          <w:sz w:val="20"/>
          <w:szCs w:val="20"/>
        </w:rPr>
        <w:t xml:space="preserve">, </w:t>
      </w:r>
      <w:proofErr w:type="spellStart"/>
      <w:r>
        <w:rPr>
          <w:rFonts w:ascii="Verdana" w:hAnsi="Verdana"/>
          <w:color w:val="auto"/>
          <w:sz w:val="20"/>
          <w:szCs w:val="20"/>
        </w:rPr>
        <w:t>Rudi</w:t>
      </w:r>
      <w:proofErr w:type="spellEnd"/>
      <w:r>
        <w:rPr>
          <w:rFonts w:ascii="Verdana" w:hAnsi="Verdana"/>
          <w:color w:val="auto"/>
          <w:sz w:val="20"/>
          <w:szCs w:val="20"/>
        </w:rPr>
        <w:t xml:space="preserve"> y </w:t>
      </w:r>
      <w:proofErr w:type="spellStart"/>
      <w:r>
        <w:rPr>
          <w:rFonts w:ascii="Verdana" w:hAnsi="Verdana"/>
          <w:color w:val="auto"/>
          <w:sz w:val="20"/>
          <w:szCs w:val="20"/>
        </w:rPr>
        <w:t>Paty</w:t>
      </w:r>
      <w:proofErr w:type="spellEnd"/>
      <w:r>
        <w:rPr>
          <w:rFonts w:ascii="Verdana" w:hAnsi="Verdana"/>
          <w:color w:val="auto"/>
          <w:sz w:val="20"/>
          <w:szCs w:val="20"/>
        </w:rPr>
        <w:t xml:space="preserve">, Buenos Aires </w:t>
      </w:r>
      <w:proofErr w:type="spellStart"/>
      <w:r>
        <w:rPr>
          <w:rFonts w:ascii="Verdana" w:hAnsi="Verdana"/>
          <w:color w:val="auto"/>
          <w:sz w:val="20"/>
          <w:szCs w:val="20"/>
        </w:rPr>
        <w:t>Stencil</w:t>
      </w:r>
      <w:proofErr w:type="spellEnd"/>
      <w:r>
        <w:rPr>
          <w:rFonts w:ascii="Verdana" w:hAnsi="Verdana"/>
          <w:color w:val="auto"/>
          <w:sz w:val="20"/>
          <w:szCs w:val="20"/>
        </w:rPr>
        <w:t xml:space="preserve">, CEO, Daniel Paz, </w:t>
      </w:r>
      <w:proofErr w:type="spellStart"/>
      <w:r>
        <w:rPr>
          <w:rFonts w:ascii="Verdana" w:hAnsi="Verdana"/>
          <w:color w:val="auto"/>
          <w:sz w:val="20"/>
          <w:szCs w:val="20"/>
        </w:rPr>
        <w:t>Maitena</w:t>
      </w:r>
      <w:proofErr w:type="spellEnd"/>
      <w:r>
        <w:rPr>
          <w:rFonts w:ascii="Verdana" w:hAnsi="Verdana"/>
          <w:color w:val="auto"/>
          <w:sz w:val="20"/>
          <w:szCs w:val="20"/>
        </w:rPr>
        <w:t xml:space="preserve">, Tute, Napo, </w:t>
      </w:r>
      <w:proofErr w:type="spellStart"/>
      <w:r>
        <w:rPr>
          <w:rFonts w:ascii="Verdana" w:hAnsi="Verdana"/>
          <w:color w:val="auto"/>
          <w:sz w:val="20"/>
          <w:szCs w:val="20"/>
        </w:rPr>
        <w:t>Langer</w:t>
      </w:r>
      <w:proofErr w:type="spellEnd"/>
      <w:r>
        <w:rPr>
          <w:rFonts w:ascii="Verdana" w:hAnsi="Verdana"/>
          <w:color w:val="auto"/>
          <w:sz w:val="20"/>
          <w:szCs w:val="20"/>
        </w:rPr>
        <w:t xml:space="preserve">, </w:t>
      </w:r>
      <w:proofErr w:type="spellStart"/>
      <w:r>
        <w:rPr>
          <w:rFonts w:ascii="Verdana" w:hAnsi="Verdana"/>
          <w:color w:val="auto"/>
          <w:sz w:val="20"/>
          <w:szCs w:val="20"/>
        </w:rPr>
        <w:t>Rocambole</w:t>
      </w:r>
      <w:proofErr w:type="spellEnd"/>
      <w:r>
        <w:rPr>
          <w:rFonts w:ascii="Verdana" w:hAnsi="Verdana"/>
          <w:color w:val="auto"/>
          <w:sz w:val="20"/>
          <w:szCs w:val="20"/>
        </w:rPr>
        <w:t xml:space="preserve">, </w:t>
      </w:r>
      <w:proofErr w:type="spellStart"/>
      <w:r>
        <w:rPr>
          <w:rFonts w:ascii="Verdana" w:hAnsi="Verdana"/>
          <w:color w:val="auto"/>
          <w:sz w:val="20"/>
          <w:szCs w:val="20"/>
        </w:rPr>
        <w:t>Caloi</w:t>
      </w:r>
      <w:proofErr w:type="spellEnd"/>
      <w:r>
        <w:rPr>
          <w:rFonts w:ascii="Verdana" w:hAnsi="Verdana"/>
          <w:color w:val="auto"/>
          <w:sz w:val="20"/>
          <w:szCs w:val="20"/>
        </w:rPr>
        <w:t xml:space="preserve">, Hermenegildo </w:t>
      </w:r>
      <w:proofErr w:type="spellStart"/>
      <w:r>
        <w:rPr>
          <w:rFonts w:ascii="Verdana" w:hAnsi="Verdana"/>
          <w:color w:val="auto"/>
          <w:sz w:val="20"/>
          <w:szCs w:val="20"/>
        </w:rPr>
        <w:t>Sábat</w:t>
      </w:r>
      <w:proofErr w:type="spellEnd"/>
      <w:r>
        <w:rPr>
          <w:rFonts w:ascii="Verdana" w:hAnsi="Verdana"/>
          <w:color w:val="auto"/>
          <w:sz w:val="20"/>
          <w:szCs w:val="20"/>
        </w:rPr>
        <w:t xml:space="preserve">, Emiliano </w:t>
      </w:r>
      <w:proofErr w:type="spellStart"/>
      <w:r>
        <w:rPr>
          <w:rFonts w:ascii="Verdana" w:hAnsi="Verdana"/>
          <w:color w:val="auto"/>
          <w:sz w:val="20"/>
          <w:szCs w:val="20"/>
        </w:rPr>
        <w:t>Miliyo</w:t>
      </w:r>
      <w:proofErr w:type="spellEnd"/>
      <w:r>
        <w:rPr>
          <w:rFonts w:ascii="Verdana" w:hAnsi="Verdana"/>
          <w:color w:val="auto"/>
          <w:sz w:val="20"/>
          <w:szCs w:val="20"/>
        </w:rPr>
        <w:t xml:space="preserve">, Alfredo </w:t>
      </w:r>
      <w:proofErr w:type="spellStart"/>
      <w:r>
        <w:rPr>
          <w:rFonts w:ascii="Verdana" w:hAnsi="Verdana"/>
          <w:color w:val="auto"/>
          <w:sz w:val="20"/>
          <w:szCs w:val="20"/>
        </w:rPr>
        <w:t>Grondona</w:t>
      </w:r>
      <w:proofErr w:type="spellEnd"/>
      <w:r>
        <w:rPr>
          <w:rFonts w:ascii="Verdana" w:hAnsi="Verdana"/>
          <w:color w:val="auto"/>
          <w:sz w:val="20"/>
          <w:szCs w:val="20"/>
        </w:rPr>
        <w:t xml:space="preserve"> White, </w:t>
      </w:r>
      <w:proofErr w:type="spellStart"/>
      <w:r>
        <w:rPr>
          <w:rFonts w:ascii="Verdana" w:hAnsi="Verdana"/>
          <w:color w:val="auto"/>
          <w:sz w:val="20"/>
          <w:szCs w:val="20"/>
        </w:rPr>
        <w:t>Crist</w:t>
      </w:r>
      <w:proofErr w:type="spellEnd"/>
      <w:r>
        <w:rPr>
          <w:rFonts w:ascii="Verdana" w:hAnsi="Verdana"/>
          <w:color w:val="auto"/>
          <w:sz w:val="20"/>
          <w:szCs w:val="20"/>
        </w:rPr>
        <w:t>, Sergio Izquierdo Brown y Luis Campos. Todos los artistas participantes cedieron gratuitamente los derechos de las obras para ser exhibidos en este espacio.</w:t>
      </w:r>
    </w:p>
    <w:p w:rsidR="00263593" w:rsidRDefault="00263593" w:rsidP="00263593">
      <w:pPr>
        <w:pStyle w:val="normal0"/>
        <w:spacing w:after="24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>Las obras se completan con tótems con pantallas que proyectarán videos y un reloj con el horario exacto en que ocurrió la tragedia.</w:t>
      </w:r>
    </w:p>
    <w:p w:rsidR="00263593" w:rsidRDefault="00263593" w:rsidP="00263593">
      <w:pPr>
        <w:pStyle w:val="normal0"/>
        <w:spacing w:after="24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 xml:space="preserve">Esta acción es el resultado de un convenio de colaboración celebrado en octubre del </w:t>
      </w:r>
      <w:proofErr w:type="gramStart"/>
      <w:r>
        <w:rPr>
          <w:rFonts w:ascii="Verdana" w:hAnsi="Verdana"/>
          <w:color w:val="auto"/>
          <w:sz w:val="20"/>
          <w:szCs w:val="20"/>
        </w:rPr>
        <w:t>año</w:t>
      </w:r>
      <w:proofErr w:type="gramEnd"/>
      <w:r>
        <w:rPr>
          <w:rFonts w:ascii="Verdana" w:hAnsi="Verdana"/>
          <w:color w:val="auto"/>
          <w:sz w:val="20"/>
          <w:szCs w:val="20"/>
        </w:rPr>
        <w:t xml:space="preserve"> pasado entre SBASE y AMIA, con el objetivo de crear en la estación Pasteur un lugar dedicado a las víctimas que invite a </w:t>
      </w:r>
      <w:r>
        <w:rPr>
          <w:rFonts w:ascii="Verdana" w:hAnsi="Verdana"/>
          <w:sz w:val="20"/>
          <w:szCs w:val="20"/>
        </w:rPr>
        <w:t>concientizar y generar reflexión</w:t>
      </w:r>
      <w:r>
        <w:rPr>
          <w:rFonts w:ascii="Verdana" w:hAnsi="Verdana"/>
          <w:color w:val="auto"/>
          <w:sz w:val="20"/>
          <w:szCs w:val="20"/>
        </w:rPr>
        <w:t xml:space="preserve"> frente al hecho.</w:t>
      </w:r>
    </w:p>
    <w:p w:rsidR="00263593" w:rsidRDefault="00263593" w:rsidP="00263593">
      <w:pPr>
        <w:pStyle w:val="normal0"/>
        <w:spacing w:after="240"/>
        <w:jc w:val="both"/>
        <w:rPr>
          <w:rFonts w:ascii="Verdana" w:hAnsi="Verdana"/>
          <w:color w:val="auto"/>
          <w:sz w:val="20"/>
          <w:szCs w:val="20"/>
        </w:rPr>
      </w:pPr>
      <w:r w:rsidRPr="00263593">
        <w:rPr>
          <w:rFonts w:ascii="Verdana" w:hAnsi="Verdana"/>
          <w:color w:val="auto"/>
          <w:sz w:val="20"/>
          <w:szCs w:val="20"/>
        </w:rPr>
        <w:t xml:space="preserve">Al respecto, la Gerente Corporativo y Comercial de SBASE, Verónica López Quesada expresó: “el subte es un lugar por donde circulan 1 millón de personas por día, por lo cual es ideal </w:t>
      </w:r>
      <w:r w:rsidRPr="00263593">
        <w:rPr>
          <w:rFonts w:ascii="Verdana" w:hAnsi="Verdana"/>
          <w:sz w:val="20"/>
          <w:szCs w:val="20"/>
        </w:rPr>
        <w:t>para apoyar la difusión de temáticas y hechos culturales que generen conciencia frente a cuestiones que nos interpelan como sociedad</w:t>
      </w:r>
      <w:r w:rsidRPr="00263593">
        <w:rPr>
          <w:rFonts w:ascii="Verdana" w:hAnsi="Verdana"/>
          <w:color w:val="auto"/>
          <w:sz w:val="20"/>
          <w:szCs w:val="20"/>
        </w:rPr>
        <w:t>”.</w:t>
      </w:r>
      <w:r>
        <w:rPr>
          <w:rFonts w:ascii="Verdana" w:hAnsi="Verdana"/>
          <w:color w:val="auto"/>
          <w:sz w:val="20"/>
          <w:szCs w:val="20"/>
        </w:rPr>
        <w:t xml:space="preserve"> </w:t>
      </w:r>
    </w:p>
    <w:p w:rsidR="00C84912" w:rsidRPr="00AB3BF4" w:rsidRDefault="00263593" w:rsidP="00AB3BF4">
      <w:pPr>
        <w:pStyle w:val="normal0"/>
        <w:spacing w:after="24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>Además, se apoyó el proyecto de ley que se trata en la Legislatura de la Ciudad que propone el cambio de nombre de la estación a “Pasteur-AMIA”. El mismo será tratado en Audiencia Pública el día 13 de julio próximo a las 13 h en el Salón Eva Perón de la Legislatura.</w:t>
      </w:r>
    </w:p>
    <w:sectPr w:rsidR="00C84912" w:rsidRPr="00AB3BF4" w:rsidSect="00E82D00">
      <w:headerReference w:type="default" r:id="rId7"/>
      <w:footerReference w:type="default" r:id="rId8"/>
      <w:pgSz w:w="12240" w:h="15840"/>
      <w:pgMar w:top="1237" w:right="1701" w:bottom="1417" w:left="1701" w:header="142" w:footer="45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670" w:rsidRDefault="00D51670" w:rsidP="00E82D00">
      <w:pPr>
        <w:spacing w:line="240" w:lineRule="auto"/>
      </w:pPr>
      <w:r>
        <w:separator/>
      </w:r>
    </w:p>
  </w:endnote>
  <w:endnote w:type="continuationSeparator" w:id="0">
    <w:p w:rsidR="00D51670" w:rsidRDefault="00D51670" w:rsidP="00E82D0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F27" w:rsidRPr="008D071F" w:rsidRDefault="00790F27" w:rsidP="00263593">
    <w:pPr>
      <w:spacing w:line="240" w:lineRule="auto"/>
      <w:ind w:left="5664"/>
      <w:jc w:val="right"/>
      <w:rPr>
        <w:rFonts w:ascii="Verdana" w:hAnsi="Verdana"/>
        <w:b/>
        <w:bCs/>
        <w:sz w:val="20"/>
        <w:szCs w:val="20"/>
      </w:rPr>
    </w:pPr>
    <w:r w:rsidRPr="008D071F">
      <w:rPr>
        <w:rFonts w:ascii="Verdana" w:hAnsi="Verdana"/>
        <w:b/>
        <w:bCs/>
        <w:sz w:val="20"/>
        <w:szCs w:val="20"/>
      </w:rPr>
      <w:t>Información de prensa</w:t>
    </w:r>
  </w:p>
  <w:p w:rsidR="00790F27" w:rsidRPr="008D071F" w:rsidRDefault="00790F27" w:rsidP="00263593">
    <w:pPr>
      <w:spacing w:line="240" w:lineRule="auto"/>
      <w:ind w:left="5664"/>
      <w:jc w:val="right"/>
      <w:rPr>
        <w:rFonts w:ascii="Verdana" w:hAnsi="Verdana"/>
        <w:sz w:val="20"/>
        <w:szCs w:val="20"/>
      </w:rPr>
    </w:pPr>
    <w:r>
      <w:rPr>
        <w:rFonts w:ascii="Verdana" w:hAnsi="Verdana"/>
        <w:sz w:val="20"/>
        <w:szCs w:val="20"/>
      </w:rPr>
      <w:t>Tel: 5166-5800</w:t>
    </w:r>
  </w:p>
  <w:p w:rsidR="00790F27" w:rsidRDefault="00790F27" w:rsidP="00263593">
    <w:pPr>
      <w:pStyle w:val="Piedepgina"/>
    </w:pPr>
  </w:p>
  <w:p w:rsidR="00790F27" w:rsidRDefault="00790F2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670" w:rsidRDefault="00D51670" w:rsidP="00E82D00">
      <w:pPr>
        <w:spacing w:line="240" w:lineRule="auto"/>
      </w:pPr>
      <w:r>
        <w:separator/>
      </w:r>
    </w:p>
  </w:footnote>
  <w:footnote w:type="continuationSeparator" w:id="0">
    <w:p w:rsidR="00D51670" w:rsidRDefault="00D51670" w:rsidP="00E82D0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F27" w:rsidRDefault="00790F27" w:rsidP="00E82D00">
    <w:pPr>
      <w:pStyle w:val="Encabezado"/>
      <w:jc w:val="right"/>
    </w:pPr>
    <w:r w:rsidRPr="00E82D00">
      <w:rPr>
        <w:noProof/>
      </w:rPr>
      <w:drawing>
        <wp:inline distT="0" distB="0" distL="0" distR="0">
          <wp:extent cx="699796" cy="699796"/>
          <wp:effectExtent l="19050" t="0" r="5054" b="0"/>
          <wp:docPr id="9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137" cy="7001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B2300"/>
    <w:multiLevelType w:val="hybridMultilevel"/>
    <w:tmpl w:val="E07A41D0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0D653D"/>
    <w:multiLevelType w:val="hybridMultilevel"/>
    <w:tmpl w:val="EC80B06C"/>
    <w:lvl w:ilvl="0" w:tplc="9BF20B54"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7B6D"/>
    <w:rsid w:val="0013089C"/>
    <w:rsid w:val="0013099C"/>
    <w:rsid w:val="00130CF0"/>
    <w:rsid w:val="001A5000"/>
    <w:rsid w:val="002055CC"/>
    <w:rsid w:val="00211C06"/>
    <w:rsid w:val="002247D3"/>
    <w:rsid w:val="00251A06"/>
    <w:rsid w:val="00257B6D"/>
    <w:rsid w:val="00263593"/>
    <w:rsid w:val="002706D8"/>
    <w:rsid w:val="00270ED1"/>
    <w:rsid w:val="002C15C5"/>
    <w:rsid w:val="00345FCB"/>
    <w:rsid w:val="003518CC"/>
    <w:rsid w:val="00377B66"/>
    <w:rsid w:val="00385AAC"/>
    <w:rsid w:val="003914B3"/>
    <w:rsid w:val="003A6A42"/>
    <w:rsid w:val="00414F26"/>
    <w:rsid w:val="004373B8"/>
    <w:rsid w:val="00474DC4"/>
    <w:rsid w:val="00492628"/>
    <w:rsid w:val="004E39E4"/>
    <w:rsid w:val="004F18EA"/>
    <w:rsid w:val="00544346"/>
    <w:rsid w:val="00560276"/>
    <w:rsid w:val="00567B5A"/>
    <w:rsid w:val="00580A97"/>
    <w:rsid w:val="00582BC6"/>
    <w:rsid w:val="005C0988"/>
    <w:rsid w:val="005E1C58"/>
    <w:rsid w:val="0061650F"/>
    <w:rsid w:val="0065053B"/>
    <w:rsid w:val="006A3CB2"/>
    <w:rsid w:val="006D062D"/>
    <w:rsid w:val="006F44BB"/>
    <w:rsid w:val="00790F27"/>
    <w:rsid w:val="007C1501"/>
    <w:rsid w:val="007E0A71"/>
    <w:rsid w:val="007E7282"/>
    <w:rsid w:val="007F0A93"/>
    <w:rsid w:val="00807035"/>
    <w:rsid w:val="008513DF"/>
    <w:rsid w:val="00874255"/>
    <w:rsid w:val="008A6AE0"/>
    <w:rsid w:val="008A790D"/>
    <w:rsid w:val="008F181A"/>
    <w:rsid w:val="009502C3"/>
    <w:rsid w:val="00964245"/>
    <w:rsid w:val="00985917"/>
    <w:rsid w:val="009B5633"/>
    <w:rsid w:val="00A37BA5"/>
    <w:rsid w:val="00A755A6"/>
    <w:rsid w:val="00A767FC"/>
    <w:rsid w:val="00AA2B46"/>
    <w:rsid w:val="00AB3BF4"/>
    <w:rsid w:val="00AD39F4"/>
    <w:rsid w:val="00B009D4"/>
    <w:rsid w:val="00B438AC"/>
    <w:rsid w:val="00B57ABB"/>
    <w:rsid w:val="00BA0D9D"/>
    <w:rsid w:val="00BA2D09"/>
    <w:rsid w:val="00BB7AAE"/>
    <w:rsid w:val="00BF6509"/>
    <w:rsid w:val="00C36CCA"/>
    <w:rsid w:val="00C72535"/>
    <w:rsid w:val="00C84912"/>
    <w:rsid w:val="00CF3F1B"/>
    <w:rsid w:val="00D16F33"/>
    <w:rsid w:val="00D45B0A"/>
    <w:rsid w:val="00D51670"/>
    <w:rsid w:val="00DB34C7"/>
    <w:rsid w:val="00DD11D5"/>
    <w:rsid w:val="00DF0720"/>
    <w:rsid w:val="00E22972"/>
    <w:rsid w:val="00E82D00"/>
    <w:rsid w:val="00ED0B80"/>
    <w:rsid w:val="00ED78BE"/>
    <w:rsid w:val="00FA3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B6D"/>
    <w:pPr>
      <w:spacing w:after="0"/>
    </w:pPr>
    <w:rPr>
      <w:rFonts w:ascii="Arial" w:hAnsi="Arial" w:cs="Arial"/>
      <w:color w:val="000000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0">
    <w:name w:val="normal"/>
    <w:basedOn w:val="Normal"/>
    <w:rsid w:val="007F0A93"/>
  </w:style>
  <w:style w:type="paragraph" w:styleId="Prrafodelista">
    <w:name w:val="List Paragraph"/>
    <w:basedOn w:val="Normal"/>
    <w:uiPriority w:val="34"/>
    <w:qFormat/>
    <w:rsid w:val="00B009D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semiHidden/>
    <w:unhideWhenUsed/>
    <w:rsid w:val="00E82D00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E82D00"/>
    <w:rPr>
      <w:rFonts w:ascii="Arial" w:hAnsi="Arial" w:cs="Arial"/>
      <w:color w:val="000000"/>
      <w:lang w:eastAsia="es-AR"/>
    </w:rPr>
  </w:style>
  <w:style w:type="paragraph" w:styleId="Piedepgina">
    <w:name w:val="footer"/>
    <w:basedOn w:val="Normal"/>
    <w:link w:val="PiedepginaCar"/>
    <w:uiPriority w:val="99"/>
    <w:semiHidden/>
    <w:unhideWhenUsed/>
    <w:rsid w:val="00E82D00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E82D00"/>
    <w:rPr>
      <w:rFonts w:ascii="Arial" w:hAnsi="Arial" w:cs="Arial"/>
      <w:color w:val="000000"/>
      <w:lang w:eastAsia="es-A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82D0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82D00"/>
    <w:rPr>
      <w:rFonts w:ascii="Tahoma" w:hAnsi="Tahoma" w:cs="Tahoma"/>
      <w:color w:val="000000"/>
      <w:sz w:val="16"/>
      <w:szCs w:val="16"/>
      <w:lang w:eastAsia="es-AR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211C06"/>
    <w:pPr>
      <w:spacing w:line="240" w:lineRule="auto"/>
    </w:pPr>
    <w:rPr>
      <w:rFonts w:ascii="Consolas" w:hAnsi="Consolas" w:cstheme="minorBidi"/>
      <w:color w:val="auto"/>
      <w:sz w:val="21"/>
      <w:szCs w:val="21"/>
      <w:lang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211C06"/>
    <w:rPr>
      <w:rFonts w:ascii="Consolas" w:hAnsi="Consolas"/>
      <w:sz w:val="21"/>
      <w:szCs w:val="21"/>
    </w:rPr>
  </w:style>
  <w:style w:type="character" w:styleId="Hipervnculo">
    <w:name w:val="Hyperlink"/>
    <w:basedOn w:val="Fuentedeprrafopredeter"/>
    <w:uiPriority w:val="99"/>
    <w:unhideWhenUsed/>
    <w:rsid w:val="001308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423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sfernandez</dc:creator>
  <cp:lastModifiedBy>rjofre</cp:lastModifiedBy>
  <cp:revision>18</cp:revision>
  <cp:lastPrinted>2015-06-17T21:56:00Z</cp:lastPrinted>
  <dcterms:created xsi:type="dcterms:W3CDTF">2015-06-18T12:46:00Z</dcterms:created>
  <dcterms:modified xsi:type="dcterms:W3CDTF">2015-06-18T14:07:00Z</dcterms:modified>
</cp:coreProperties>
</file>